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0E" w:rsidRPr="00206655" w:rsidRDefault="00206655" w:rsidP="00206655">
      <w:pPr>
        <w:jc w:val="center"/>
        <w:rPr>
          <w:b/>
          <w:sz w:val="30"/>
          <w:szCs w:val="30"/>
          <w:u w:val="single"/>
        </w:rPr>
      </w:pPr>
      <w:r w:rsidRPr="00206655">
        <w:rPr>
          <w:b/>
          <w:sz w:val="30"/>
          <w:szCs w:val="30"/>
          <w:u w:val="single"/>
        </w:rPr>
        <w:t>What Co-Te</w:t>
      </w:r>
      <w:r w:rsidR="00F27E7C">
        <w:rPr>
          <w:b/>
          <w:sz w:val="30"/>
          <w:szCs w:val="30"/>
          <w:u w:val="single"/>
        </w:rPr>
        <w:t>aching is… What Co-Teaching is N</w:t>
      </w:r>
      <w:bookmarkStart w:id="0" w:name="_GoBack"/>
      <w:bookmarkEnd w:id="0"/>
      <w:r w:rsidRPr="00206655">
        <w:rPr>
          <w:b/>
          <w:sz w:val="30"/>
          <w:szCs w:val="30"/>
          <w:u w:val="single"/>
        </w:rPr>
        <w:t>ot…Activity</w:t>
      </w:r>
    </w:p>
    <w:p w:rsidR="00206655" w:rsidRDefault="00206655" w:rsidP="00206655">
      <w:r w:rsidRPr="00206655">
        <w:rPr>
          <w:b/>
          <w:u w:val="single"/>
        </w:rPr>
        <w:t>Instructions:</w:t>
      </w:r>
      <w:r>
        <w:t xml:space="preserve"> Read each descriptor and check the box to indicate if the description matches recommended co-teaching practices or if the description does not align with suggested co-teaching practices. </w:t>
      </w:r>
    </w:p>
    <w:p w:rsidR="00206655" w:rsidRDefault="00206655" w:rsidP="00206655"/>
    <w:tbl>
      <w:tblPr>
        <w:tblStyle w:val="TableGrid"/>
        <w:tblW w:w="0" w:type="auto"/>
        <w:tblLook w:val="04A0" w:firstRow="1" w:lastRow="0" w:firstColumn="1" w:lastColumn="0" w:noHBand="0" w:noVBand="1"/>
      </w:tblPr>
      <w:tblGrid>
        <w:gridCol w:w="7646"/>
        <w:gridCol w:w="1572"/>
        <w:gridCol w:w="1572"/>
      </w:tblGrid>
      <w:tr w:rsidR="00206655" w:rsidTr="00206655">
        <w:tc>
          <w:tcPr>
            <w:tcW w:w="7646" w:type="dxa"/>
            <w:shd w:val="clear" w:color="auto" w:fill="AEAAAA" w:themeFill="background2" w:themeFillShade="BF"/>
          </w:tcPr>
          <w:p w:rsidR="00206655" w:rsidRDefault="00206655" w:rsidP="00206655">
            <w:pPr>
              <w:tabs>
                <w:tab w:val="left" w:pos="1705"/>
              </w:tabs>
              <w:jc w:val="center"/>
            </w:pPr>
          </w:p>
          <w:p w:rsidR="00206655" w:rsidRDefault="00206655" w:rsidP="00206655">
            <w:pPr>
              <w:tabs>
                <w:tab w:val="left" w:pos="1705"/>
              </w:tabs>
              <w:jc w:val="center"/>
            </w:pPr>
            <w:r>
              <w:t xml:space="preserve">Description </w:t>
            </w:r>
          </w:p>
        </w:tc>
        <w:tc>
          <w:tcPr>
            <w:tcW w:w="1572" w:type="dxa"/>
            <w:shd w:val="clear" w:color="auto" w:fill="AEAAAA" w:themeFill="background2" w:themeFillShade="BF"/>
          </w:tcPr>
          <w:p w:rsidR="00206655" w:rsidRDefault="00206655" w:rsidP="00206655">
            <w:pPr>
              <w:jc w:val="center"/>
            </w:pPr>
            <w:r>
              <w:t xml:space="preserve">Recommended </w:t>
            </w:r>
          </w:p>
          <w:p w:rsidR="00206655" w:rsidRDefault="00206655" w:rsidP="00206655">
            <w:pPr>
              <w:jc w:val="center"/>
            </w:pPr>
            <w:r>
              <w:t xml:space="preserve">Co-Teaching </w:t>
            </w:r>
          </w:p>
          <w:p w:rsidR="00206655" w:rsidRDefault="00206655" w:rsidP="00206655">
            <w:pPr>
              <w:jc w:val="center"/>
            </w:pPr>
            <w:r>
              <w:t xml:space="preserve">Practice </w:t>
            </w:r>
          </w:p>
        </w:tc>
        <w:tc>
          <w:tcPr>
            <w:tcW w:w="1572" w:type="dxa"/>
            <w:shd w:val="clear" w:color="auto" w:fill="AEAAAA" w:themeFill="background2" w:themeFillShade="BF"/>
          </w:tcPr>
          <w:p w:rsidR="00206655" w:rsidRDefault="00206655" w:rsidP="00206655">
            <w:pPr>
              <w:jc w:val="center"/>
            </w:pPr>
            <w:r>
              <w:t xml:space="preserve">Not a </w:t>
            </w:r>
          </w:p>
          <w:p w:rsidR="00206655" w:rsidRDefault="00206655" w:rsidP="00206655">
            <w:pPr>
              <w:jc w:val="center"/>
            </w:pPr>
            <w:r>
              <w:t>Recommended</w:t>
            </w:r>
          </w:p>
          <w:p w:rsidR="00206655" w:rsidRDefault="00206655" w:rsidP="00206655">
            <w:pPr>
              <w:jc w:val="center"/>
            </w:pPr>
            <w:r>
              <w:t xml:space="preserve">Co-Teaching </w:t>
            </w:r>
          </w:p>
          <w:p w:rsidR="00206655" w:rsidRDefault="00206655" w:rsidP="00206655">
            <w:pPr>
              <w:jc w:val="center"/>
            </w:pPr>
            <w:r>
              <w:t xml:space="preserve">Practice </w:t>
            </w:r>
          </w:p>
        </w:tc>
      </w:tr>
      <w:tr w:rsidR="00206655" w:rsidTr="00206655">
        <w:tc>
          <w:tcPr>
            <w:tcW w:w="7646" w:type="dxa"/>
          </w:tcPr>
          <w:p w:rsidR="00206655" w:rsidRDefault="00206655" w:rsidP="00206655">
            <w:pPr>
              <w:pStyle w:val="ListParagraph"/>
              <w:numPr>
                <w:ilvl w:val="0"/>
                <w:numId w:val="1"/>
              </w:numPr>
            </w:pPr>
            <w:r>
              <w:t xml:space="preserve">Two or more educators working together collaboratively towards shared goals. </w:t>
            </w:r>
          </w:p>
          <w:p w:rsidR="00206655" w:rsidRDefault="00206655" w:rsidP="00206655">
            <w:pPr>
              <w:pStyle w:val="ListParagraph"/>
              <w:numPr>
                <w:ilvl w:val="0"/>
                <w:numId w:val="1"/>
              </w:numPr>
            </w:pPr>
            <w:r>
              <w:t>The general education curriculum provides the instructional framework, with the flexibility of it being modifiable for students who require it (</w:t>
            </w:r>
            <w:proofErr w:type="spellStart"/>
            <w:r>
              <w:t>Fennick</w:t>
            </w:r>
            <w:proofErr w:type="spellEnd"/>
            <w:r>
              <w:t>, 2001).</w:t>
            </w:r>
          </w:p>
        </w:tc>
        <w:tc>
          <w:tcPr>
            <w:tcW w:w="1572" w:type="dxa"/>
          </w:tcPr>
          <w:p w:rsidR="00206655" w:rsidRDefault="00206655" w:rsidP="00206655">
            <w:pPr>
              <w:jc w:val="right"/>
            </w:pPr>
          </w:p>
        </w:tc>
        <w:tc>
          <w:tcPr>
            <w:tcW w:w="1572" w:type="dxa"/>
          </w:tcPr>
          <w:p w:rsidR="00206655" w:rsidRDefault="00206655" w:rsidP="00206655">
            <w:pPr>
              <w:jc w:val="right"/>
            </w:pPr>
          </w:p>
        </w:tc>
      </w:tr>
      <w:tr w:rsidR="00206655" w:rsidTr="00206655">
        <w:tc>
          <w:tcPr>
            <w:tcW w:w="7646" w:type="dxa"/>
          </w:tcPr>
          <w:p w:rsidR="00206655" w:rsidRDefault="00206655" w:rsidP="00206655">
            <w:pPr>
              <w:pStyle w:val="ListParagraph"/>
              <w:numPr>
                <w:ilvl w:val="0"/>
                <w:numId w:val="1"/>
              </w:numPr>
            </w:pPr>
            <w:r w:rsidRPr="00206655">
              <w:t>A teacher with an aid or paraprofessional, many of whom have not had the professional preparation to co-teach. This is not to say that paraprofessionals do not have important classroom roles—they just should not be asked to fulfill responsibilities of certificated staff (Friend, 2003).</w:t>
            </w:r>
          </w:p>
        </w:tc>
        <w:tc>
          <w:tcPr>
            <w:tcW w:w="1572" w:type="dxa"/>
          </w:tcPr>
          <w:p w:rsidR="00206655" w:rsidRDefault="00206655" w:rsidP="00206655">
            <w:pPr>
              <w:jc w:val="right"/>
            </w:pPr>
          </w:p>
        </w:tc>
        <w:tc>
          <w:tcPr>
            <w:tcW w:w="1572" w:type="dxa"/>
          </w:tcPr>
          <w:p w:rsidR="00206655" w:rsidRDefault="00206655" w:rsidP="00206655">
            <w:pPr>
              <w:jc w:val="right"/>
            </w:pPr>
          </w:p>
        </w:tc>
      </w:tr>
      <w:tr w:rsidR="00206655" w:rsidTr="00206655">
        <w:tc>
          <w:tcPr>
            <w:tcW w:w="7646" w:type="dxa"/>
          </w:tcPr>
          <w:p w:rsidR="00206655" w:rsidRPr="00206655" w:rsidRDefault="00206655" w:rsidP="00206655">
            <w:pPr>
              <w:pStyle w:val="ListParagraph"/>
              <w:numPr>
                <w:ilvl w:val="0"/>
                <w:numId w:val="1"/>
              </w:numPr>
            </w:pPr>
            <w:r>
              <w:t>Two adults merely being present in a classroom at the same time. It also does not mean that the general education teacher plans and delivers all of the lessons while the special education teacher circulates (</w:t>
            </w:r>
            <w:proofErr w:type="spellStart"/>
            <w:r>
              <w:t>Murawski</w:t>
            </w:r>
            <w:proofErr w:type="spellEnd"/>
            <w:r>
              <w:t>, 2002).</w:t>
            </w:r>
          </w:p>
        </w:tc>
        <w:tc>
          <w:tcPr>
            <w:tcW w:w="1572" w:type="dxa"/>
          </w:tcPr>
          <w:p w:rsidR="00206655" w:rsidRDefault="00206655" w:rsidP="00206655">
            <w:pPr>
              <w:jc w:val="right"/>
            </w:pPr>
          </w:p>
        </w:tc>
        <w:tc>
          <w:tcPr>
            <w:tcW w:w="1572" w:type="dxa"/>
          </w:tcPr>
          <w:p w:rsidR="00206655" w:rsidRDefault="00206655" w:rsidP="00206655">
            <w:pPr>
              <w:jc w:val="right"/>
            </w:pPr>
          </w:p>
        </w:tc>
      </w:tr>
      <w:tr w:rsidR="00206655" w:rsidTr="00206655">
        <w:tc>
          <w:tcPr>
            <w:tcW w:w="7646" w:type="dxa"/>
          </w:tcPr>
          <w:p w:rsidR="00206655" w:rsidRDefault="00206655" w:rsidP="00206655">
            <w:pPr>
              <w:pStyle w:val="ListParagraph"/>
              <w:numPr>
                <w:ilvl w:val="0"/>
                <w:numId w:val="1"/>
              </w:numPr>
            </w:pPr>
            <w:r>
              <w:t xml:space="preserve">Both professionals coordinating and delivering substantive instruction, ensuring that both teachers have active roles. </w:t>
            </w:r>
          </w:p>
          <w:p w:rsidR="00206655" w:rsidRDefault="00206655" w:rsidP="00206655">
            <w:pPr>
              <w:pStyle w:val="ListParagraph"/>
              <w:numPr>
                <w:ilvl w:val="0"/>
                <w:numId w:val="1"/>
              </w:numPr>
            </w:pPr>
            <w:r>
              <w:t>Co-teachers should work to ensure that their instructional strategies engage all students in ways that are not possible when only one teacher is present (Austin, 2001, Gately &amp; Gately, 2001).</w:t>
            </w:r>
          </w:p>
        </w:tc>
        <w:tc>
          <w:tcPr>
            <w:tcW w:w="1572" w:type="dxa"/>
          </w:tcPr>
          <w:p w:rsidR="00206655" w:rsidRDefault="00206655" w:rsidP="00206655">
            <w:pPr>
              <w:jc w:val="right"/>
            </w:pPr>
          </w:p>
        </w:tc>
        <w:tc>
          <w:tcPr>
            <w:tcW w:w="1572" w:type="dxa"/>
          </w:tcPr>
          <w:p w:rsidR="00206655" w:rsidRDefault="00206655" w:rsidP="00206655">
            <w:pPr>
              <w:jc w:val="right"/>
            </w:pPr>
          </w:p>
        </w:tc>
      </w:tr>
      <w:tr w:rsidR="00206655" w:rsidTr="00206655">
        <w:tc>
          <w:tcPr>
            <w:tcW w:w="7646" w:type="dxa"/>
          </w:tcPr>
          <w:p w:rsidR="00206655" w:rsidRDefault="00206655" w:rsidP="00206655">
            <w:pPr>
              <w:pStyle w:val="ListParagraph"/>
              <w:numPr>
                <w:ilvl w:val="0"/>
                <w:numId w:val="1"/>
              </w:numPr>
            </w:pPr>
            <w:r>
              <w:t>Conducted in the same classroom at the same time. Although small groups of students may occasionally be taken to a separate location for a specific purpose and limited time, co-teaching should feature both teachers instructing in the same physical space (Friend, 2003).</w:t>
            </w:r>
          </w:p>
          <w:p w:rsidR="00206655" w:rsidRDefault="00206655" w:rsidP="00206655">
            <w:pPr>
              <w:pStyle w:val="ListParagraph"/>
              <w:numPr>
                <w:ilvl w:val="0"/>
                <w:numId w:val="1"/>
              </w:numPr>
            </w:pPr>
            <w:r>
              <w:t xml:space="preserve">Conducted with heterogeneous groups. </w:t>
            </w:r>
          </w:p>
        </w:tc>
        <w:tc>
          <w:tcPr>
            <w:tcW w:w="1572" w:type="dxa"/>
          </w:tcPr>
          <w:p w:rsidR="00206655" w:rsidRDefault="00206655" w:rsidP="00206655">
            <w:pPr>
              <w:jc w:val="right"/>
            </w:pPr>
          </w:p>
        </w:tc>
        <w:tc>
          <w:tcPr>
            <w:tcW w:w="1572" w:type="dxa"/>
          </w:tcPr>
          <w:p w:rsidR="00206655" w:rsidRDefault="00206655" w:rsidP="00206655">
            <w:pPr>
              <w:jc w:val="right"/>
            </w:pPr>
          </w:p>
        </w:tc>
      </w:tr>
      <w:tr w:rsidR="00206655" w:rsidTr="00206655">
        <w:tc>
          <w:tcPr>
            <w:tcW w:w="7646" w:type="dxa"/>
          </w:tcPr>
          <w:p w:rsidR="00206655" w:rsidRDefault="00206655" w:rsidP="00206655">
            <w:pPr>
              <w:pStyle w:val="ListParagraph"/>
              <w:numPr>
                <w:ilvl w:val="0"/>
                <w:numId w:val="1"/>
              </w:numPr>
            </w:pPr>
            <w:r>
              <w:t xml:space="preserve">Pulling a few students out of the classroom on a regular basis to work with the special educator.  </w:t>
            </w:r>
          </w:p>
          <w:p w:rsidR="00206655" w:rsidRDefault="00206655" w:rsidP="00206655">
            <w:pPr>
              <w:pStyle w:val="ListParagraph"/>
              <w:numPr>
                <w:ilvl w:val="0"/>
                <w:numId w:val="1"/>
              </w:numPr>
            </w:pPr>
            <w:r>
              <w:t xml:space="preserve">Job sharing, where teachers teach on different days. </w:t>
            </w:r>
          </w:p>
          <w:p w:rsidR="00206655" w:rsidRDefault="00206655" w:rsidP="00206655">
            <w:pPr>
              <w:pStyle w:val="ListParagraph"/>
              <w:numPr>
                <w:ilvl w:val="0"/>
                <w:numId w:val="1"/>
              </w:numPr>
            </w:pPr>
            <w:r>
              <w:t>Include separating or grouping the same students with special needs in one part of the classroom or along the fringes on a regular basis, even if these practices are well-intentioned (Friend, 2003).</w:t>
            </w:r>
          </w:p>
        </w:tc>
        <w:tc>
          <w:tcPr>
            <w:tcW w:w="1572" w:type="dxa"/>
          </w:tcPr>
          <w:p w:rsidR="00206655" w:rsidRDefault="00206655" w:rsidP="00206655">
            <w:pPr>
              <w:jc w:val="right"/>
            </w:pPr>
          </w:p>
        </w:tc>
        <w:tc>
          <w:tcPr>
            <w:tcW w:w="1572" w:type="dxa"/>
          </w:tcPr>
          <w:p w:rsidR="00206655" w:rsidRDefault="00206655" w:rsidP="00206655">
            <w:pPr>
              <w:jc w:val="right"/>
            </w:pPr>
          </w:p>
        </w:tc>
      </w:tr>
      <w:tr w:rsidR="00206655" w:rsidTr="00206655">
        <w:tc>
          <w:tcPr>
            <w:tcW w:w="7646" w:type="dxa"/>
          </w:tcPr>
          <w:p w:rsidR="00206655" w:rsidRDefault="00206655" w:rsidP="00206655">
            <w:pPr>
              <w:pStyle w:val="ListParagraph"/>
              <w:numPr>
                <w:ilvl w:val="0"/>
                <w:numId w:val="1"/>
              </w:numPr>
            </w:pPr>
            <w:r>
              <w:t xml:space="preserve">When the general education teacher plans all the lessons and the special education teacher walks in to the rooms and says, “What are we doing today and what would you like me to do.” </w:t>
            </w:r>
          </w:p>
          <w:p w:rsidR="00206655" w:rsidRDefault="00206655" w:rsidP="00206655">
            <w:pPr>
              <w:pStyle w:val="ListParagraph"/>
              <w:numPr>
                <w:ilvl w:val="0"/>
                <w:numId w:val="1"/>
              </w:numPr>
            </w:pPr>
            <w:r>
              <w:t xml:space="preserve">When the general education teacher plans and administers all assessments and the special education teacher says, “We should modify that student’s grade on the assessment because it was too hard for the student.” </w:t>
            </w:r>
          </w:p>
          <w:p w:rsidR="00206655" w:rsidRDefault="00206655" w:rsidP="00206655"/>
          <w:p w:rsidR="00206655" w:rsidRDefault="00206655" w:rsidP="00206655"/>
        </w:tc>
        <w:tc>
          <w:tcPr>
            <w:tcW w:w="1572" w:type="dxa"/>
          </w:tcPr>
          <w:p w:rsidR="00206655" w:rsidRDefault="00206655" w:rsidP="00206655">
            <w:pPr>
              <w:jc w:val="right"/>
            </w:pPr>
          </w:p>
        </w:tc>
        <w:tc>
          <w:tcPr>
            <w:tcW w:w="1572" w:type="dxa"/>
          </w:tcPr>
          <w:p w:rsidR="00206655" w:rsidRDefault="00206655" w:rsidP="00206655">
            <w:pPr>
              <w:jc w:val="right"/>
            </w:pPr>
          </w:p>
        </w:tc>
      </w:tr>
      <w:tr w:rsidR="00206655" w:rsidTr="00206655">
        <w:tc>
          <w:tcPr>
            <w:tcW w:w="7646" w:type="dxa"/>
            <w:shd w:val="clear" w:color="auto" w:fill="AEAAAA" w:themeFill="background2" w:themeFillShade="BF"/>
          </w:tcPr>
          <w:p w:rsidR="00206655" w:rsidRDefault="00206655" w:rsidP="00206655">
            <w:pPr>
              <w:tabs>
                <w:tab w:val="left" w:pos="1705"/>
              </w:tabs>
              <w:jc w:val="center"/>
            </w:pPr>
          </w:p>
          <w:p w:rsidR="00206655" w:rsidRDefault="00206655" w:rsidP="00206655">
            <w:pPr>
              <w:tabs>
                <w:tab w:val="left" w:pos="1705"/>
              </w:tabs>
              <w:jc w:val="center"/>
            </w:pPr>
            <w:r>
              <w:t xml:space="preserve">Description </w:t>
            </w:r>
          </w:p>
        </w:tc>
        <w:tc>
          <w:tcPr>
            <w:tcW w:w="1572" w:type="dxa"/>
            <w:shd w:val="clear" w:color="auto" w:fill="AEAAAA" w:themeFill="background2" w:themeFillShade="BF"/>
          </w:tcPr>
          <w:p w:rsidR="00206655" w:rsidRDefault="00206655" w:rsidP="00206655">
            <w:pPr>
              <w:jc w:val="center"/>
            </w:pPr>
            <w:r>
              <w:t xml:space="preserve">Recommended </w:t>
            </w:r>
          </w:p>
          <w:p w:rsidR="00206655" w:rsidRDefault="00206655" w:rsidP="00206655">
            <w:pPr>
              <w:jc w:val="center"/>
            </w:pPr>
            <w:r>
              <w:t xml:space="preserve">Co-Teaching </w:t>
            </w:r>
          </w:p>
          <w:p w:rsidR="00206655" w:rsidRDefault="00206655" w:rsidP="00206655">
            <w:pPr>
              <w:jc w:val="center"/>
            </w:pPr>
            <w:r>
              <w:t xml:space="preserve">Practice </w:t>
            </w:r>
          </w:p>
        </w:tc>
        <w:tc>
          <w:tcPr>
            <w:tcW w:w="1572" w:type="dxa"/>
            <w:shd w:val="clear" w:color="auto" w:fill="AEAAAA" w:themeFill="background2" w:themeFillShade="BF"/>
          </w:tcPr>
          <w:p w:rsidR="00206655" w:rsidRDefault="00206655" w:rsidP="00206655">
            <w:pPr>
              <w:jc w:val="center"/>
            </w:pPr>
            <w:r>
              <w:t xml:space="preserve">Not a </w:t>
            </w:r>
          </w:p>
          <w:p w:rsidR="00206655" w:rsidRDefault="00206655" w:rsidP="00206655">
            <w:pPr>
              <w:jc w:val="center"/>
            </w:pPr>
            <w:r>
              <w:t>Recommended</w:t>
            </w:r>
          </w:p>
          <w:p w:rsidR="00206655" w:rsidRDefault="00206655" w:rsidP="00206655">
            <w:pPr>
              <w:jc w:val="center"/>
            </w:pPr>
            <w:r>
              <w:t xml:space="preserve">Co-Teaching </w:t>
            </w:r>
          </w:p>
          <w:p w:rsidR="00206655" w:rsidRDefault="00206655" w:rsidP="00206655">
            <w:pPr>
              <w:jc w:val="center"/>
            </w:pPr>
            <w:r>
              <w:t xml:space="preserve">Practice </w:t>
            </w:r>
          </w:p>
        </w:tc>
      </w:tr>
      <w:tr w:rsidR="00206655" w:rsidTr="00206655">
        <w:tc>
          <w:tcPr>
            <w:tcW w:w="7646" w:type="dxa"/>
          </w:tcPr>
          <w:p w:rsidR="00206655" w:rsidRDefault="00206655" w:rsidP="00206655">
            <w:pPr>
              <w:pStyle w:val="ListParagraph"/>
              <w:numPr>
                <w:ilvl w:val="0"/>
                <w:numId w:val="1"/>
              </w:numPr>
            </w:pPr>
            <w:r w:rsidRPr="00206655">
              <w:t xml:space="preserve">When teachers maximize the benefits of having two teachers in the room by having both teachers actively engaged with students.  </w:t>
            </w:r>
          </w:p>
        </w:tc>
        <w:tc>
          <w:tcPr>
            <w:tcW w:w="1572" w:type="dxa"/>
          </w:tcPr>
          <w:p w:rsidR="00206655" w:rsidRDefault="00206655" w:rsidP="00206655">
            <w:pPr>
              <w:jc w:val="right"/>
            </w:pPr>
          </w:p>
        </w:tc>
        <w:tc>
          <w:tcPr>
            <w:tcW w:w="1572" w:type="dxa"/>
          </w:tcPr>
          <w:p w:rsidR="00206655" w:rsidRDefault="00206655" w:rsidP="00206655">
            <w:pPr>
              <w:jc w:val="right"/>
            </w:pPr>
          </w:p>
        </w:tc>
      </w:tr>
      <w:tr w:rsidR="00206655" w:rsidTr="00206655">
        <w:tc>
          <w:tcPr>
            <w:tcW w:w="7646" w:type="dxa"/>
          </w:tcPr>
          <w:p w:rsidR="00206655" w:rsidRPr="00206655" w:rsidRDefault="00206655" w:rsidP="00206655">
            <w:pPr>
              <w:pStyle w:val="ListParagraph"/>
              <w:numPr>
                <w:ilvl w:val="0"/>
                <w:numId w:val="1"/>
              </w:numPr>
            </w:pPr>
            <w:r w:rsidRPr="00206655">
              <w:t xml:space="preserve">When teachers take turns “being in charge” of the class so that the other teacher can get caught up with grading, copying, making phone calls, creating IEPs, etc. </w:t>
            </w:r>
          </w:p>
        </w:tc>
        <w:tc>
          <w:tcPr>
            <w:tcW w:w="1572" w:type="dxa"/>
          </w:tcPr>
          <w:p w:rsidR="00206655" w:rsidRDefault="00206655" w:rsidP="00206655">
            <w:pPr>
              <w:jc w:val="right"/>
            </w:pPr>
          </w:p>
        </w:tc>
        <w:tc>
          <w:tcPr>
            <w:tcW w:w="1572" w:type="dxa"/>
          </w:tcPr>
          <w:p w:rsidR="00206655" w:rsidRDefault="00206655" w:rsidP="00206655">
            <w:pPr>
              <w:jc w:val="right"/>
            </w:pPr>
          </w:p>
        </w:tc>
      </w:tr>
      <w:tr w:rsidR="00206655" w:rsidTr="00206655">
        <w:tc>
          <w:tcPr>
            <w:tcW w:w="7646" w:type="dxa"/>
          </w:tcPr>
          <w:p w:rsidR="00206655" w:rsidRPr="00206655" w:rsidRDefault="00206655" w:rsidP="00206655">
            <w:pPr>
              <w:pStyle w:val="ListParagraph"/>
              <w:numPr>
                <w:ilvl w:val="0"/>
                <w:numId w:val="1"/>
              </w:numPr>
            </w:pPr>
            <w:r w:rsidRPr="00206655">
              <w:t xml:space="preserve">When teachers get frustrated with one another and tell the rest of the faculty how bad it is, or when one teacher simply tells the other teacher what to do and how to do it.  </w:t>
            </w:r>
          </w:p>
        </w:tc>
        <w:tc>
          <w:tcPr>
            <w:tcW w:w="1572" w:type="dxa"/>
          </w:tcPr>
          <w:p w:rsidR="00206655" w:rsidRDefault="00206655" w:rsidP="00206655">
            <w:pPr>
              <w:jc w:val="right"/>
            </w:pPr>
          </w:p>
        </w:tc>
        <w:tc>
          <w:tcPr>
            <w:tcW w:w="1572" w:type="dxa"/>
          </w:tcPr>
          <w:p w:rsidR="00206655" w:rsidRDefault="00206655" w:rsidP="00206655">
            <w:pPr>
              <w:jc w:val="right"/>
            </w:pPr>
          </w:p>
        </w:tc>
      </w:tr>
      <w:tr w:rsidR="00206655" w:rsidTr="00206655">
        <w:tc>
          <w:tcPr>
            <w:tcW w:w="7646" w:type="dxa"/>
          </w:tcPr>
          <w:p w:rsidR="00206655" w:rsidRPr="00206655" w:rsidRDefault="00206655" w:rsidP="00206655">
            <w:pPr>
              <w:pStyle w:val="ListParagraph"/>
              <w:numPr>
                <w:ilvl w:val="0"/>
                <w:numId w:val="1"/>
              </w:numPr>
            </w:pPr>
            <w:r w:rsidRPr="00206655">
              <w:t xml:space="preserve">When teachers reflect on the progress and process, offering one another feedback on teaching styles, content, activities, and other items pertinent to improving the teaching and learning taking place. </w:t>
            </w:r>
          </w:p>
        </w:tc>
        <w:tc>
          <w:tcPr>
            <w:tcW w:w="1572" w:type="dxa"/>
          </w:tcPr>
          <w:p w:rsidR="00206655" w:rsidRDefault="00206655" w:rsidP="00206655">
            <w:pPr>
              <w:jc w:val="right"/>
            </w:pPr>
          </w:p>
        </w:tc>
        <w:tc>
          <w:tcPr>
            <w:tcW w:w="1572" w:type="dxa"/>
          </w:tcPr>
          <w:p w:rsidR="00206655" w:rsidRDefault="00206655" w:rsidP="00206655">
            <w:pPr>
              <w:jc w:val="right"/>
            </w:pPr>
          </w:p>
        </w:tc>
      </w:tr>
    </w:tbl>
    <w:p w:rsidR="00206655" w:rsidRDefault="00206655" w:rsidP="00206655">
      <w:pPr>
        <w:jc w:val="right"/>
      </w:pPr>
    </w:p>
    <w:p w:rsidR="00206655" w:rsidRDefault="00206655" w:rsidP="00206655"/>
    <w:sectPr w:rsidR="00206655" w:rsidSect="0020665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E3E" w:rsidRDefault="00822E3E" w:rsidP="00206655">
      <w:pPr>
        <w:spacing w:after="0" w:line="240" w:lineRule="auto"/>
      </w:pPr>
      <w:r>
        <w:separator/>
      </w:r>
    </w:p>
  </w:endnote>
  <w:endnote w:type="continuationSeparator" w:id="0">
    <w:p w:rsidR="00822E3E" w:rsidRDefault="00822E3E" w:rsidP="002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655" w:rsidRDefault="00206655" w:rsidP="00206655">
    <w:pPr>
      <w:pStyle w:val="Footer"/>
      <w:jc w:val="center"/>
    </w:pPr>
    <w:r w:rsidRPr="00206655">
      <w:t xml:space="preserve">Adapted from Collaborative Teaching in Secondary Schools:  Making the Co-Teaching Marriage Work!  </w:t>
    </w:r>
    <w:proofErr w:type="gramStart"/>
    <w:r w:rsidRPr="00206655">
      <w:t>by</w:t>
    </w:r>
    <w:proofErr w:type="gramEnd"/>
    <w:r w:rsidRPr="00206655">
      <w:t xml:space="preserve"> Wendy W. </w:t>
    </w:r>
    <w:proofErr w:type="spellStart"/>
    <w:r w:rsidRPr="00206655">
      <w:t>Murawksi</w:t>
    </w:r>
    <w:proofErr w:type="spellEnd"/>
  </w:p>
  <w:p w:rsidR="00206655" w:rsidRDefault="00206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E3E" w:rsidRDefault="00822E3E" w:rsidP="00206655">
      <w:pPr>
        <w:spacing w:after="0" w:line="240" w:lineRule="auto"/>
      </w:pPr>
      <w:r>
        <w:separator/>
      </w:r>
    </w:p>
  </w:footnote>
  <w:footnote w:type="continuationSeparator" w:id="0">
    <w:p w:rsidR="00822E3E" w:rsidRDefault="00822E3E" w:rsidP="00206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36963"/>
    <w:multiLevelType w:val="hybridMultilevel"/>
    <w:tmpl w:val="0590B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55"/>
    <w:rsid w:val="00206655"/>
    <w:rsid w:val="003209BA"/>
    <w:rsid w:val="007562C0"/>
    <w:rsid w:val="00822E3E"/>
    <w:rsid w:val="008F7009"/>
    <w:rsid w:val="00F2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A378E-F9FA-42C3-8848-47671CC7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655"/>
  </w:style>
  <w:style w:type="paragraph" w:styleId="Footer">
    <w:name w:val="footer"/>
    <w:basedOn w:val="Normal"/>
    <w:link w:val="FooterChar"/>
    <w:uiPriority w:val="99"/>
    <w:unhideWhenUsed/>
    <w:rsid w:val="00206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655"/>
  </w:style>
  <w:style w:type="table" w:styleId="TableGrid">
    <w:name w:val="Table Grid"/>
    <w:basedOn w:val="TableNormal"/>
    <w:uiPriority w:val="39"/>
    <w:rsid w:val="00206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6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El Dorado County Office of Education</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Mercado</dc:creator>
  <cp:keywords/>
  <dc:description/>
  <cp:lastModifiedBy>Janelle Mercado</cp:lastModifiedBy>
  <cp:revision>2</cp:revision>
  <dcterms:created xsi:type="dcterms:W3CDTF">2017-07-24T20:02:00Z</dcterms:created>
  <dcterms:modified xsi:type="dcterms:W3CDTF">2017-07-24T23:17:00Z</dcterms:modified>
</cp:coreProperties>
</file>